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styles.xml" ContentType="application/vnd.openxmlformats-officedocument.wordprocessingml.style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0" w:after="160" w:line="360" w:lineRule="auto"/>
        <w:keepNext/>
        <w:jc w:val="center"/>
      </w:pPr>
      <w:r>
        <w:rPr>
          <w:rFonts w:ascii="Arial" w:hAnsi="Arial" w:cs="Arial"/>
          <w:b/>
          <w:sz w:val="28"/>
          <w:szCs w:val="28"/>
          <w:color w:val="BF8F00"/>
        </w:rPr>
        <w:t xml:space="preserve">Azerbaiyán, Uzbekistán y Turkmenistán – La ruta de Marco Polo</w:t>
      </w:r>
    </w:p>
    <w:p>
      <w:pPr>
        <w:spacing w:before="0" w:after="160" w:line="360" w:lineRule="auto"/>
        <w:keepNext/>
        <w:jc w:val="center"/>
      </w:pPr>
      <w:r>
        <w:rPr>
          <w:rFonts w:ascii="Arial" w:hAnsi="Arial" w:cs="Arial"/>
          <w:b/>
          <w:sz w:val="24"/>
          <w:szCs w:val="24"/>
          <w:color w:val="202020"/>
        </w:rPr>
        <w:t xml:space="preserve">14 noches</w:t>
      </w:r>
    </w:p>
    <w:p>
      <w:pPr>
        <w:jc w:val="center"/>
        <w:spacing w:before="80" w:after="180"/>
        <w:keepNext/>
      </w:pPr>
      <w:r>
        <w:drawing>
          <wp:inline distT="0" distB="0" distL="0" distR="0">
            <wp:extent cx="6026150" cy="1980569"/>
            <wp:docPr id="2" name="Programme photo" descr="Azerbaiyán, Uzbekistán y Turkmenistán – La ruta de Marco Polo"/>
            <a:graphic>
              <a:graphicData uri="http://schemas.openxmlformats.org/drawingml/2006/picture">
                <pic:pic>
                  <pic:nvPicPr>
                    <pic:cNvPr id="2" name="Programme photo"/>
                    <pic:cNvPicPr/>
                  </pic:nvPicPr>
                  <pic:blipFill>
                    <a:blip r:embed="rId4"/>
                    <a:stretch>
                      <a:fillRect/>
                    </a:stretch>
                  </pic:blipFill>
                  <pic:spPr>
                    <a:xfrm>
                      <a:off x="0" y="0"/>
                      <a:ext cx="6026150" cy="1980569"/>
                    </a:xfrm>
                    <a:prstGeom prst="rect">
                      <a:avLst/>
                    </a:prstGeom>
                  </pic:spPr>
                </pic:pic>
              </a:graphicData>
            </a:graphic>
          </wp:inline>
        </w:drawing>
      </w:r>
    </w:p>
    <w:p>
      <w:pPr>
        <w:spacing w:before="160" w:after="120" w:line="360" w:lineRule="auto"/>
        <w:keepNext/>
      </w:pPr>
      <w:r>
        <w:rPr>
          <w:rFonts w:ascii="Arial" w:hAnsi="Arial" w:cs="Arial"/>
          <w:b/>
          <w:sz w:val="24"/>
          <w:szCs w:val="24"/>
          <w:color w:val="202020"/>
        </w:rPr>
        <w:t xml:space="preserve">Fechas de salidas garantizadas</w:t>
      </w:r>
    </w:p>
    <w:tbl>
      <w:tblPr>
        <w:tblW w:w="9490" w:type="dxa"/>
        <w:tblLayout w:type="fixed"/>
        <w:tblBorders>
          <w:top w:val="single" w:sz="4" w:color="D9D9D9"/>
          <w:left w:val="single" w:sz="4" w:color="D9D9D9"/>
          <w:bottom w:val="single" w:sz="4" w:color="D9D9D9"/>
          <w:right w:val="single" w:sz="4" w:color="D9D9D9"/>
          <w:insideH w:val="single" w:sz="4" w:color="D9D9D9"/>
          <w:insideV w:val="single" w:sz="4" w:color="D9D9D9"/>
        </w:tblBorders>
      </w:tblPr>
      <w:tblGrid>
        <w:gridCol w:w="4745"/>
        <w:gridCol w:w="4745"/>
      </w:tblGrid>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23 de marzo de 2027 – 06 de abril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27 de abril de 2027 – 11 de mayo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11 de mayo de 2027 – 25 de mayo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01 de junio de 2027 – 15 de junio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15 de junio de 2027 – 29 de junio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13 de julio de 2027 – 27 de julio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17 de agosto de 2027 – 31 de agosto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07 de septiembre de 2027 – 21 de septiembre de 2027</w:t>
            </w:r>
          </w:p>
        </w:tc>
      </w:tr>
      <w:tr>
        <w:trPr>
          <w:cantSplit/>
        </w:trPr>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05 de octubre de 2027 – 19 de octubre de 2027</w:t>
            </w:r>
          </w:p>
        </w:tc>
        <w:tc>
          <w:tcPr>
            <w:tcW w:w="4745" w:type="dxa"/>
            <w:tcMar>
              <w:top w:w="95" w:type="dxa"/>
              <w:left w:w="120" w:type="dxa"/>
              <w:bottom w:w="95" w:type="dxa"/>
              <w:right w:w="120" w:type="dxa"/>
            </w:tcMar>
          </w:tcPr>
          <w:p>
            <w:pPr>
              <w:spacing w:before="0" w:after="0" w:line="260" w:lineRule="auto"/>
              <w:jc w:val="center"/>
            </w:pPr>
            <w:r>
              <w:rPr>
                <w:rFonts w:ascii="Arial" w:hAnsi="Arial" w:cs="Arial"/>
                <w:sz w:val="20"/>
                <w:szCs w:val="20"/>
                <w:color w:val="202020"/>
              </w:rPr>
              <w:t xml:space="preserve">22 de octubre de 2027 – 05 de noviembre de 2027</w:t>
            </w:r>
          </w:p>
        </w:tc>
      </w:tr>
    </w:tbl>
    <w:p>
      <w:pPr>
        <w:spacing w:before="0" w:after="60" w:line="100" w:lineRule="auto"/>
      </w:pPr>
      <w:r>
        <w:rPr>
          <w:rFonts w:ascii="Arial" w:hAnsi="Arial" w:cs="Arial"/>
          <w:sz w:val="2"/>
          <w:szCs w:val="2"/>
          <w:color w:val="202020"/>
        </w:rPr>
        <w:t xml:space="preserve"/>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 Llegada a Bakú</w:t>
      </w:r>
    </w:p>
    <w:p>
      <w:pPr>
        <w:spacing w:before="0" w:after="100" w:line="360" w:lineRule="auto"/>
      </w:pPr>
      <w:r>
        <w:rPr>
          <w:rFonts w:ascii="Arial" w:hAnsi="Arial" w:cs="Arial"/>
          <w:sz w:val="24"/>
          <w:szCs w:val="24"/>
          <w:color w:val="202020"/>
        </w:rPr>
        <w:t xml:space="preserve">Llegada al aeropuerto de Bakú. Traslado al hotel opcional y alojamiento en la ciudad.</w:t>
      </w:r>
    </w:p>
    <w:p>
      <w:pPr>
        <w:spacing w:before="0" w:after="100" w:line="360" w:lineRule="auto"/>
      </w:pPr>
      <w:r>
        <w:rPr>
          <w:rFonts w:ascii="Arial" w:hAnsi="Arial" w:cs="Arial"/>
          <w:sz w:val="24"/>
          <w:szCs w:val="24"/>
          <w:color w:val="202020"/>
        </w:rPr>
        <w:t xml:space="preserve">El tour comienza a las 09:15.</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2: Bakú – Gobustán – Bakú</w:t>
      </w:r>
    </w:p>
    <w:p>
      <w:pPr>
        <w:spacing w:before="0" w:after="100" w:line="360" w:lineRule="auto"/>
      </w:pPr>
      <w:r>
        <w:rPr>
          <w:rFonts w:ascii="Arial" w:hAnsi="Arial" w:cs="Arial"/>
          <w:sz w:val="24"/>
          <w:szCs w:val="24"/>
          <w:color w:val="202020"/>
        </w:rPr>
        <w:t xml:space="preserve">Desayuno y excursión a Gobustán para visitar el museo y conocer los petroglifos de la región. El paisaje de arte rupestre de Gobustán, Patrimonio Mundial de la UNESCO, conserva miles de grabados en los bloques de una meseta semidesértica. Cazadores, animales salvajes, embarcaciones y grupos de danzantes muestran la vida, los desplazamientos y las creencias de las antiguas comunidades. El museo explica estas imágenes a través de los asentamientos prehistóricos y los cambios del entorno, ayudando a interpretar las pequeñas figuras sobre la piedra.</w:t>
      </w:r>
    </w:p>
    <w:p>
      <w:pPr>
        <w:spacing w:before="0" w:after="100" w:line="360" w:lineRule="auto"/>
      </w:pPr>
      <w:r>
        <w:rPr>
          <w:rFonts w:ascii="Arial" w:hAnsi="Arial" w:cs="Arial"/>
          <w:sz w:val="24"/>
          <w:szCs w:val="24"/>
          <w:color w:val="202020"/>
        </w:rPr>
        <w:t xml:space="preserve">Continuación a los volcanes de lodo y regreso a Bakú para visitar la mezquita de Bibi-Heybat. Los volcanes de lodo se forman por gases que ascienden a través del agua y los sedimentos subterráneos. Las burbujas rompen la superficie gris y pequeños conos se acumulan alrededor de las bocas, creando un paisaje desnudo modelado por barro, en lugar de lava. Azerbaiyán reúne una concentración excepcional de estas formaciones. Son un atractivo natural diferente del sitio UNESCO de arte rupestre de Gobustán. Bibi-Heybat es una mezquita de peregrinación en el acceso sur de Bakú, frente a la costa del Caspio. El conjunto actual reconstruye un santuario histórico destruido en época soviética. Cúpulas, minaretes e interiores decorados la convierten en un referente del patrimonio islámico. Sigue siendo un lugar de culto, por lo que la visita respeta las normas de acceso y oración.</w:t>
      </w:r>
    </w:p>
    <w:p>
      <w:pPr>
        <w:spacing w:before="0" w:after="100" w:line="360" w:lineRule="auto"/>
      </w:pPr>
      <w:r>
        <w:rPr>
          <w:rFonts w:ascii="Arial" w:hAnsi="Arial" w:cs="Arial"/>
          <w:sz w:val="24"/>
          <w:szCs w:val="24"/>
          <w:color w:val="202020"/>
        </w:rPr>
        <w:t xml:space="preserve">Recorrido por Icherisheher, con el Palacio de los Shirvanshahs, la Torre de la Doncella, las ruinas de la iglesia de San Bartolomé, antiguos hammams y mezquitas históricas. Icherisheher es la ciudad amurallada de Bakú, todavía habitada y reconocida por la UNESCO junto con el Palacio de los Shirvanshahs y la Torre de la Doncella. Sus callejuelas unen mezquitas, caravasares y baños de la ciudad comercial medieval. El conjunto palaciego del siglo XV fue residencia de los gobernantes de Shirván; la torre cilíndrica, de gruesos muros de piedra, es uno de los monumentos más antiguos de la capital. Su arquitectura muestra Bakú antes de las transformaciones de la época del petróleo.</w:t>
      </w:r>
    </w:p>
    <w:p>
      <w:pPr>
        <w:spacing w:before="0" w:after="100" w:line="360" w:lineRule="auto"/>
      </w:pPr>
      <w:r>
        <w:rPr>
          <w:rFonts w:ascii="Arial" w:hAnsi="Arial" w:cs="Arial"/>
          <w:sz w:val="24"/>
          <w:szCs w:val="24"/>
          <w:color w:val="202020"/>
        </w:rPr>
        <w:t xml:space="preserve">Almuerzo incluido. Cena libre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3: Bakú – Península de Absherón – Bakú</w:t>
      </w:r>
    </w:p>
    <w:p>
      <w:pPr>
        <w:spacing w:before="0" w:after="100" w:line="360" w:lineRule="auto"/>
      </w:pPr>
      <w:r>
        <w:rPr>
          <w:rFonts w:ascii="Arial" w:hAnsi="Arial" w:cs="Arial"/>
          <w:sz w:val="24"/>
          <w:szCs w:val="24"/>
          <w:color w:val="202020"/>
        </w:rPr>
        <w:t xml:space="preserve">Desayuno y visita al mirador de Bakú, con vistas a la bahía del Caspio. Excursión a la península de Absherón para visitar el Templo del Fuego de Ateshgah, en Surakhani, y Yanar Dag, la montaña ardiente. El recinto de piedra de Ateshgah rodea un altar central del fuego y las pequeñas celdas utilizadas por los peregrinos. Las inscripciones y el patio recuerdan a los comerciantes hindúes y sijes que viajaban a Absherón, junto con las antiguas tradiciones locales del culto al fuego. El conjunto conservado data principalmente de los siglos XVII y XVIII, cuando las rutas comerciales conectaban Bakú con el subcontinente indio. En Yanar Dag, el gas natural que sale de la ladera alimenta una línea de llamas al pie de la roca. El fuego procede del suelo, no de una erupción volcánica: una explicación visible del nombre “Tierra del Fuego”. El relieve bajo y la roca expuesta permiten distinguir este fenómeno natural del altar de Ateshgah.</w:t>
      </w:r>
    </w:p>
    <w:p>
      <w:pPr>
        <w:spacing w:before="0" w:after="100" w:line="360" w:lineRule="auto"/>
      </w:pPr>
      <w:r>
        <w:rPr>
          <w:rFonts w:ascii="Arial" w:hAnsi="Arial" w:cs="Arial"/>
          <w:sz w:val="24"/>
          <w:szCs w:val="24"/>
          <w:color w:val="202020"/>
        </w:rPr>
        <w:t xml:space="preserve">De regreso a Bakú, visita al Centro Cultural Heydar Aliyev (visita exterior), diseñado por Zaha Hadid, y al Yashil Bazaar, conocido por sus productos frescos, especias y especialidades locales. El Centro Heydar Aliyev de Zaha Hadid se distingue por sus curvas blancas continuas: la superficie se eleva desde la plaza y se pliega hasta convertirse en cubierta, evitando las líneas rectas de una fachada convencional. Desde fuera, los distintos ángulos muestran cómo la arquitectura y el espacio ajardinado forman una sola composición. La parada es exterior y no supone entrada a las exposiciones. Los puestos de Yashil Bazaar exhiben frutas de temporada, hierbas, nueces, frutos secos y especias aromáticas. Granadas, té y conservas son algunos de los productos asociados a la cocina azerbaiyana. El mercado muestra cómo llegan a Bakú los productos de distintas regiones y permite observar las compras cotidianas, entre cestas de fruta, encurtidos y especialidades locales.</w:t>
      </w:r>
    </w:p>
    <w:p>
      <w:pPr>
        <w:spacing w:before="0" w:after="100" w:line="360" w:lineRule="auto"/>
      </w:pPr>
      <w:r>
        <w:rPr>
          <w:rFonts w:ascii="Arial" w:hAnsi="Arial" w:cs="Arial"/>
          <w:sz w:val="24"/>
          <w:szCs w:val="24"/>
          <w:color w:val="202020"/>
        </w:rPr>
        <w:t xml:space="preserve">Almuerzo incluido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4: Bakú: arte, museos y paseo marítimo</w:t>
      </w:r>
    </w:p>
    <w:p>
      <w:pPr>
        <w:spacing w:before="0" w:after="100" w:line="360" w:lineRule="auto"/>
      </w:pPr>
      <w:r>
        <w:rPr>
          <w:rFonts w:ascii="Arial" w:hAnsi="Arial" w:cs="Arial"/>
          <w:sz w:val="24"/>
          <w:szCs w:val="24"/>
          <w:color w:val="202020"/>
        </w:rPr>
        <w:t xml:space="preserve">Después del desayuno, visita a la galería de arte contemporáneo YARAT y al Museo de Alfombras. La forma de alfombra enrollada del museo anuncia su colección. Colores, bordes geométricos y motivos florales distinguen las tradiciones regionales; los tejidos planos y las alfombras anudadas muestran técnicas diferentes. Las exposiciones explican su papel en hogares y ceremonias, revelando el trabajo artesanal detrás de un objeto cotidiano. YARAT presenta arte contemporáneo en un edificio industrial reconvertido junto al paseo marítimo. Pintura, instalaciones, fotografía y vídeo exploran la vida y las ideas de Azerbaiyán y de la región. Ofrece una perspectiva distinta de las colecciones históricas de Bakú; las obras cambian según el calendario de exposiciones.</w:t>
      </w:r>
    </w:p>
    <w:p>
      <w:pPr>
        <w:spacing w:before="0" w:after="100" w:line="360" w:lineRule="auto"/>
      </w:pPr>
      <w:r>
        <w:rPr>
          <w:rFonts w:ascii="Arial" w:hAnsi="Arial" w:cs="Arial"/>
          <w:sz w:val="24"/>
          <w:szCs w:val="24"/>
          <w:color w:val="202020"/>
        </w:rPr>
        <w:t xml:space="preserve">Paseo por el boulevard junto al mar Caspio y almuerzo en un restaurante local. Por la tarde, visita al Museo de Historia de Azerbaiyán y a la casa de Haji Zeynalabdin Taghiyev. El Museo Nacional de Historia ocupa la antigua mansión del empresario petrolero y filántropo Haji Zeynalabdin Taghiyev. Objetos arqueológicos, armas, monedas y utensilios domésticos recorren distintas épocas de Azerbaiyán. Las habitaciones familiares restauradas muestran además la riqueza de la Bakú petrolera, con techos decorados, salones de recepción y muebles de finales del siglo XIX.</w:t>
      </w:r>
    </w:p>
    <w:p>
      <w:pPr>
        <w:spacing w:before="0" w:after="100" w:line="360" w:lineRule="auto"/>
      </w:pPr>
      <w:r>
        <w:rPr>
          <w:rFonts w:ascii="Arial" w:hAnsi="Arial" w:cs="Arial"/>
          <w:sz w:val="24"/>
          <w:szCs w:val="24"/>
          <w:color w:val="202020"/>
        </w:rPr>
        <w:t xml:space="preserve">Regreso al hotel y alojamiento en Bakú.</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5: Bakú – Guba – Khinalig – Bakú – Tashkent</w:t>
      </w:r>
    </w:p>
    <w:p>
      <w:pPr>
        <w:spacing w:before="0" w:after="100" w:line="360" w:lineRule="auto"/>
      </w:pPr>
      <w:r>
        <w:rPr>
          <w:rFonts w:ascii="Arial" w:hAnsi="Arial" w:cs="Arial"/>
          <w:sz w:val="24"/>
          <w:szCs w:val="24"/>
          <w:color w:val="202020"/>
        </w:rPr>
        <w:t xml:space="preserve">Salida por la mañana hacia Guba y visita al Pueblo Rojo, Qırmızı Qəsəbə. Continuación a un taller tradicional de alfombras y almuerzo en una casa local. Por la tarde, excursión a Khinalig y visita a su Museo de Historia Local. Las casas de piedra de Khinalig se agrupan en una ladera empinada, con tejados y terrazas adaptados al terreno. La comunidad conserva su propia lengua y una economía pastoril vinculada a los desplazamientos estacionales. La UNESCO reconoce el paisaje cultural de su pueblo y la ruta de trashumancia Köç Yolu, que une el poblado con los pastos de verano e invierno. El patrimonio incluye tanto el asentamiento como la práctica viva del pastoreo de montaña.</w:t>
      </w:r>
    </w:p>
    <w:p>
      <w:pPr>
        <w:spacing w:before="0" w:after="100" w:line="360" w:lineRule="auto"/>
      </w:pPr>
      <w:r>
        <w:rPr>
          <w:rFonts w:ascii="Arial" w:hAnsi="Arial" w:cs="Arial"/>
          <w:sz w:val="24"/>
          <w:szCs w:val="24"/>
          <w:color w:val="202020"/>
        </w:rPr>
        <w:t xml:space="preserve">Regreso a Bakú y traslado al aeropuerto para el vuelo directo a Tashkent. Llegada de madrugada, recepción por el guía y el conductor locales, traslado al hotel y alojamiento. El horario del vuelo se reconfirmará antes del viaje.</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6: Tashkent – Samarcanda</w:t>
      </w:r>
    </w:p>
    <w:p>
      <w:pPr>
        <w:spacing w:before="0" w:after="100" w:line="360" w:lineRule="auto"/>
      </w:pPr>
      <w:r>
        <w:rPr>
          <w:rFonts w:ascii="Arial" w:hAnsi="Arial" w:cs="Arial"/>
          <w:sz w:val="24"/>
          <w:szCs w:val="24"/>
          <w:color w:val="202020"/>
        </w:rPr>
        <w:t xml:space="preserve">Desayuno y recorrido por la parte antigua de Tashkent: complejo Hazrati Imam, madrasa Barak-Khan, mezquita Tillya Sheikh y mausoleo de Abu Bakr Kaffal Shashi. El conjunto Hazrati Imam de Taskent reúne madrasas, mezquitas y el mausoleo de Kaffal Shashi. El gran bazar cubierto Chorsu contrasta con las tallas de madera y los objetos decorativos del Museo de Artes Aplicadas. Bajo la ciudad, las estaciones del metro utilizan mosaicos, mármol y decoración temática: Kosmonavtlar recuerda la exploración espacial y Alisher Navoi el patrimonio literario y arquitectónico regional.</w:t>
      </w:r>
    </w:p>
    <w:p>
      <w:pPr>
        <w:spacing w:before="0" w:after="100" w:line="360" w:lineRule="auto"/>
      </w:pPr>
      <w:r>
        <w:rPr>
          <w:rFonts w:ascii="Arial" w:hAnsi="Arial" w:cs="Arial"/>
          <w:sz w:val="24"/>
          <w:szCs w:val="24"/>
          <w:color w:val="202020"/>
        </w:rPr>
        <w:t xml:space="preserve">Visita al bazar Chorsu, al Museo de Artes Aplicadas y a las estaciones de metro Kosmonavtlar y Alisher Navoi. Almuerzo y continuación a la plaza Amir Timur y la plaza del Teatro. Por la tarde, traslado a la estación para viajar en tren a Samarcanda. Llegada y traslado al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7: Samarcanda</w:t>
      </w:r>
    </w:p>
    <w:p>
      <w:pPr>
        <w:spacing w:before="0" w:after="100" w:line="360" w:lineRule="auto"/>
      </w:pPr>
      <w:r>
        <w:rPr>
          <w:rFonts w:ascii="Arial" w:hAnsi="Arial" w:cs="Arial"/>
          <w:sz w:val="24"/>
          <w:szCs w:val="24"/>
          <w:color w:val="202020"/>
        </w:rPr>
        <w:t xml:space="preserve">Desayuno y visita a la plaza Registán, con las madrasas Ulugbek, Sher-Dor y Tilla-Kori. Continuación al mausoleo Gur-e Amir, la mezquita Bibi-Khanym y el bazar Siab. Los monumentos UNESCO de Samarcanda muestran su papel como centro del poder timúrida y del conocimiento. Las tres madrasas del Registán enmarcan la plaza con portadas y fachadas de cerámica; Gur-e-Amir es el mausoleo dinástico asociado a Timur. La escala de Bibi-Khanym y las tumbas próximas de Shakhi-Zinda muestran distintos usos de azulejos, caligrafía y geometrías. El mercado Siab continúa la tradición comercial en sus puestos de alimentos.</w:t>
      </w:r>
    </w:p>
    <w:p>
      <w:pPr>
        <w:spacing w:before="0" w:after="100" w:line="360" w:lineRule="auto"/>
      </w:pPr>
      <w:r>
        <w:rPr>
          <w:rFonts w:ascii="Arial" w:hAnsi="Arial" w:cs="Arial"/>
          <w:sz w:val="24"/>
          <w:szCs w:val="24"/>
          <w:color w:val="202020"/>
        </w:rPr>
        <w:t xml:space="preserve">Almuerzo en un restaurante local y visita por la tarde a la necrópolis Shakhi Zinda. Alojamiento en Samarcanda.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8: Samarcanda – Bujará</w:t>
      </w:r>
    </w:p>
    <w:p>
      <w:pPr>
        <w:spacing w:before="0" w:after="100" w:line="360" w:lineRule="auto"/>
      </w:pPr>
      <w:r>
        <w:rPr>
          <w:rFonts w:ascii="Arial" w:hAnsi="Arial" w:cs="Arial"/>
          <w:sz w:val="24"/>
          <w:szCs w:val="24"/>
          <w:color w:val="202020"/>
        </w:rPr>
        <w:t xml:space="preserve">Desayuno y traslado a la estación para viajar a Bujará. Si no hay disponibilidad de tren, el trayecto se realizará por carretera. A la llegada, visita al mausoleo de los Samánidas, Chashma Ayub, la mezquita Bolo Hauz y la ciudadela Ark. Después del almuerzo, recorrido por el minarete Kalyan, la mezquita Poi Kalyan, la madrasa Miri Arab, los mercados cubiertos Toki Zargaron, Toki Telpak Furushon y Toki Sarafon, las madrasas Ulugbek y Abdullazizkhan, la mezquita Magoki Attori, el complejo Lyabi Hauz y Chor Minor. El centro histórico UNESCO de Bujará conserva la estructura de una ciudad comercial y religiosa. El mausoleo de los Samánidas crea dibujos complejos con ladrillos, en lugar de azulejos de colores. El Ark fue sede fortificada de los gobernantes; el minarete Kalyan y la mezquita y madrasa próximas marcan el centro religioso. Las cúpulas comerciales y el estanque de Lyabi-Hauz muestran cómo mercados, estudio y vida social compartían las calles.</w:t>
      </w:r>
    </w:p>
    <w:p>
      <w:pPr>
        <w:spacing w:before="0" w:after="100" w:line="360" w:lineRule="auto"/>
      </w:pPr>
      <w:r>
        <w:rPr>
          <w:rFonts w:ascii="Arial" w:hAnsi="Arial" w:cs="Arial"/>
          <w:sz w:val="24"/>
          <w:szCs w:val="24"/>
          <w:color w:val="202020"/>
        </w:rPr>
        <w:t xml:space="preserve">Alojamiento en Bujará.</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9: Bujará – Khiva</w:t>
      </w:r>
    </w:p>
    <w:p>
      <w:pPr>
        <w:spacing w:before="0" w:after="100" w:line="360" w:lineRule="auto"/>
      </w:pPr>
      <w:r>
        <w:rPr>
          <w:rFonts w:ascii="Arial" w:hAnsi="Arial" w:cs="Arial"/>
          <w:sz w:val="24"/>
          <w:szCs w:val="24"/>
          <w:color w:val="202020"/>
        </w:rPr>
        <w:t xml:space="preserve">Después del desayuno, salida por carretera hacia Khiva a través del desierto de Kyzylkum. El trayecto es de aproximadamente 451 km y siete horas. Almuerzo en ruta. Llegada al hotel y tiempo libre para descansar. Alojamiento en Khiva.</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10: Khiva</w:t>
      </w:r>
    </w:p>
    <w:p>
      <w:pPr>
        <w:spacing w:before="0" w:after="100" w:line="360" w:lineRule="auto"/>
      </w:pPr>
      <w:r>
        <w:rPr>
          <w:rFonts w:ascii="Arial" w:hAnsi="Arial" w:cs="Arial"/>
          <w:sz w:val="24"/>
          <w:szCs w:val="24"/>
          <w:color w:val="202020"/>
        </w:rPr>
        <w:t xml:space="preserve">Desayuno y recorrido por Ichan-Kala. Itchan Kala es la ciudad interior de Jiva, patrimonio UNESCO, rodeada de gruesas murallas de tierra. Kalta Minor se reconoce por su forma ancha e inacabada y sus azulejos turquesa; el minarete más alto de Islam Khodja sobresale de los tejados. Palacios, madrasas y mausoleos ocupan las callejuelas; columnas de madera tallada y patios decorados muestran la artesanía de la capital del kanato.</w:t>
      </w:r>
    </w:p>
    <w:p>
      <w:pPr>
        <w:spacing w:before="0" w:after="100" w:line="360" w:lineRule="auto"/>
      </w:pPr>
      <w:r>
        <w:rPr>
          <w:rFonts w:ascii="Arial" w:hAnsi="Arial" w:cs="Arial"/>
          <w:sz w:val="24"/>
          <w:szCs w:val="24"/>
          <w:color w:val="202020"/>
        </w:rPr>
        <w:t xml:space="preserve">Visita a Kalta Minor, la fortaleza Kunya Ark, las madrasas Mohammed Rahim Khan e Islam Khodja, el palacio Tash Hovli, el mausoleo Pahlavan Mahmud y la madrasa Allakulikhan. Almuerzo en un restaurante local. Alojamiento en el hotel situado dentro del recinto histórico.</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11: Khiva – Dashoguz – Darvaza</w:t>
      </w:r>
    </w:p>
    <w:p>
      <w:pPr>
        <w:spacing w:before="0" w:after="100" w:line="360" w:lineRule="auto"/>
      </w:pPr>
      <w:r>
        <w:rPr>
          <w:rFonts w:ascii="Arial" w:hAnsi="Arial" w:cs="Arial"/>
          <w:sz w:val="24"/>
          <w:szCs w:val="24"/>
          <w:color w:val="202020"/>
        </w:rPr>
        <w:t xml:space="preserve">Desayuno y traslado a la frontera de Shavat para entrar en Turkmenistán. Continuación hacia Darvaza, a través de la región de Dashoguz, en un recorrido aproximado de 300 km. Visita al cráter de gas y observación del paisaje al anochecer. Cena de barbacoa y alojamiento en la zona del cráter.</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12: Darvaza – Ashgabat</w:t>
      </w:r>
    </w:p>
    <w:p>
      <w:pPr>
        <w:spacing w:before="0" w:after="100" w:line="360" w:lineRule="auto"/>
      </w:pPr>
      <w:r>
        <w:rPr>
          <w:rFonts w:ascii="Arial" w:hAnsi="Arial" w:cs="Arial"/>
          <w:sz w:val="24"/>
          <w:szCs w:val="24"/>
          <w:color w:val="202020"/>
        </w:rPr>
        <w:t xml:space="preserve">Desayuno tipo picnic y traslado por carretera a Ashgabat, en un recorrido aproximado de 280 km. Por la tarde, visita de la ciudad y sus edificios y monumentos: Palacio Presidencial, Palacio Ruhyyet, Palacio de Bodas, hotel Yildyz, noria panorámica, Monumento de la Constitución, Arco de la Neutralidad, Monumento y Parque de la Independencia, mezquita Ertogrul Gazi, instalaciones deportivas y complejos residenciales. Almuerzo incluido y alojamiento en Ashgabat.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13: Ashgabat – Nisa – Kipchak – Ashgabat</w:t>
      </w:r>
    </w:p>
    <w:p>
      <w:pPr>
        <w:spacing w:before="0" w:after="100" w:line="360" w:lineRule="auto"/>
      </w:pPr>
      <w:r>
        <w:rPr>
          <w:rFonts w:ascii="Arial" w:hAnsi="Arial" w:cs="Arial"/>
          <w:sz w:val="24"/>
          <w:szCs w:val="24"/>
          <w:color w:val="202020"/>
        </w:rPr>
        <w:t xml:space="preserve">Después del desayuno, visita a la fortaleza de Nisa, cerca de Bagyr, y al Museo Nacional de Historia y Etnografía. Las Fortalezas partas de Nisa, patrimonio UNESCO, conservan los restos de Nisa Antigua y Nueva junto a las estribaciones del Kopet Dag. Nisa Antigua fue un importante centro real del mundo parto. Muros, espacios ceremoniales y almacenes excavados revelan una cultura que combinaba tradiciones locales e influencias helenísticas, mucho antes de las avenidas de mármol de Asjabad.</w:t>
      </w:r>
    </w:p>
    <w:p>
      <w:pPr>
        <w:spacing w:before="0" w:after="100" w:line="360" w:lineRule="auto"/>
      </w:pPr>
      <w:r>
        <w:rPr>
          <w:rFonts w:ascii="Arial" w:hAnsi="Arial" w:cs="Arial"/>
          <w:sz w:val="24"/>
          <w:szCs w:val="24"/>
          <w:color w:val="202020"/>
        </w:rPr>
        <w:t xml:space="preserve">Continuación a Kipchak para conocer la mezquita Turkmenbashy Ruhy. Visita al complejo memorial Halk Hakydasy y al museo Watan Mukaddesligi. Almuerzo incluido y alojamiento en Ashgabat.</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14: Ashgabat – Arkadag – Gokdepe – Ashgabat</w:t>
      </w:r>
    </w:p>
    <w:p>
      <w:pPr>
        <w:spacing w:before="0" w:after="100" w:line="360" w:lineRule="auto"/>
      </w:pPr>
      <w:r>
        <w:rPr>
          <w:rFonts w:ascii="Arial" w:hAnsi="Arial" w:cs="Arial"/>
          <w:sz w:val="24"/>
          <w:szCs w:val="24"/>
          <w:color w:val="202020"/>
        </w:rPr>
        <w:t xml:space="preserve">Desayuno y salida hacia Gokdepe pasando por Arkadag, al pie de las montañas Kopetdag. Visita a una granja de caballos Akhal-Teke, a la fortaleza de Gokdepe y a la mezquita Saparmyrat Hajy. El caballo Akhal-Teke toma su nombre del oasis de Ahal y del pueblo Teke. Cuerpo esbelto, cuello largo y pelaje fino distinguen la raza, desarrollada por generaciones de criadores turcomanos. El saber de la cría y las tradiciones decorativas son patrimonio inmaterial UNESCO. La visita a la granja presenta el cuidado y el entrenamiento de este símbolo cultural.</w:t>
      </w:r>
    </w:p>
    <w:p>
      <w:pPr>
        <w:spacing w:before="0" w:after="100" w:line="360" w:lineRule="auto"/>
      </w:pPr>
      <w:r>
        <w:rPr>
          <w:rFonts w:ascii="Arial" w:hAnsi="Arial" w:cs="Arial"/>
          <w:sz w:val="24"/>
          <w:szCs w:val="24"/>
          <w:color w:val="202020"/>
        </w:rPr>
        <w:t xml:space="preserve">Encuentro con una familia local para conocer los trajes tradicionales, la elaboración de alfombras y fieltro y la preparación de platos como dograma e ishlekli, pan tradicional y pishme. Almuerzo compartido con la familia. Regreso a Ashgabat y visita al bazar Gulistan. Alojamiento en el hotel.</w:t>
      </w:r>
    </w:p>
    <w:p>
      <w:pPr>
        <w:spacing w:before="260" w:after="140" w:line="360" w:lineRule="auto"/>
        <w:keepNext/>
      </w:pPr>
      <w:r>
        <w:rPr>
          <w:rFonts w:ascii="Arial" w:hAnsi="Arial" w:cs="Arial"/>
          <w:b/>
          <w:sz w:val="28"/>
          <w:szCs w:val="28"/>
          <w:color w:val="F2CE00"/>
        </w:rPr>
        <w:t xml:space="preserve">// </w:t>
      </w:r>
      <w:r>
        <w:rPr>
          <w:rFonts w:ascii="Arial" w:hAnsi="Arial" w:cs="Arial"/>
          <w:b/>
          <w:sz w:val="28"/>
          <w:szCs w:val="28"/>
          <w:color w:val="171717"/>
        </w:rPr>
        <w:t xml:space="preserve">Día 15: Salida de Ashgabat</w:t>
      </w:r>
    </w:p>
    <w:p>
      <w:pPr>
        <w:spacing w:before="0" w:after="100" w:line="360" w:lineRule="auto"/>
      </w:pPr>
      <w:r>
        <w:rPr>
          <w:rFonts w:ascii="Arial" w:hAnsi="Arial" w:cs="Arial"/>
          <w:sz w:val="24"/>
          <w:szCs w:val="24"/>
          <w:color w:val="202020"/>
        </w:rPr>
        <w:t xml:space="preserve">Traslado al Aeropuerto Internacional de Ashgabat y salida en el vuelo de regreso.</w:t>
      </w:r>
    </w:p>
    <w:sectPr>
      <w:headerReference w:type="default" r:id="rId1"/>
      <w:footerReference w:type="default" r:id="rId2"/>
      <w:pgSz w:w="11906" w:h="16838"/>
      <w:pgMar w:top="1850" w:right="1134" w:bottom="1134" w:left="1134" w:header="680" w:footer="500" w:gutter="0"/>
    </w:sectPr>
  </w:body>
</w:document>
</file>

<file path=word/footer1.xml><?xml version="1.0" encoding="utf-8"?>
<w:ftr xmlns:w="http://schemas.openxmlformats.org/wordprocessingml/2006/main">
  <w:p>
    <w:pPr>
      <w:spacing w:before="0" w:after="0" w:line="240" w:lineRule="auto"/>
      <w:tabs>
        <w:tab w:val="left" w:pos="2500"/>
        <w:tab w:val="left" w:pos="5000"/>
        <w:tab w:val="left" w:pos="7500"/>
      </w:tabs>
    </w:pPr>
    <w:r>
      <w:rPr>
        <w:rFonts w:ascii="Arial" w:hAnsi="Arial" w:cs="Arial"/>
        <w:sz w:val="16"/>
        <w:szCs w:val="16"/>
        <w:color w:val="777777"/>
      </w:rPr>
      <w:t xml:space="preserve">+994 51 585 55 64</w:t>
    </w:r>
    <w:r>
      <w:tab/>
    </w:r>
    <w:r>
      <w:rPr>
        <w:rFonts w:ascii="Arial" w:hAnsi="Arial" w:cs="Arial"/>
        <w:sz w:val="16"/>
        <w:szCs w:val="16"/>
        <w:color w:val="F2CE00"/>
      </w:rPr>
      <w:t xml:space="preserve">/ </w:t>
    </w:r>
    <w:r>
      <w:rPr>
        <w:rFonts w:ascii="Arial" w:hAnsi="Arial" w:cs="Arial"/>
        <w:sz w:val="16"/>
        <w:szCs w:val="16"/>
        <w:color w:val="777777"/>
      </w:rPr>
      <w:t xml:space="preserve">+994 50 644 93 49</w:t>
    </w:r>
    <w:r>
      <w:tab/>
    </w:r>
    <w:r>
      <w:rPr>
        <w:rFonts w:ascii="Arial" w:hAnsi="Arial" w:cs="Arial"/>
        <w:sz w:val="16"/>
        <w:szCs w:val="16"/>
        <w:color w:val="F2CE00"/>
      </w:rPr>
      <w:t xml:space="preserve">/ </w:t>
    </w:r>
    <w:r>
      <w:rPr>
        <w:rFonts w:ascii="Arial" w:hAnsi="Arial" w:cs="Arial"/>
        <w:sz w:val="16"/>
        <w:szCs w:val="16"/>
        <w:color w:val="777777"/>
      </w:rPr>
      <w:t xml:space="preserve">incoming@vatravel.az</w:t>
    </w:r>
    <w:r>
      <w:tab/>
    </w:r>
    <w:r>
      <w:rPr>
        <w:rFonts w:ascii="Arial" w:hAnsi="Arial" w:cs="Arial"/>
        <w:sz w:val="16"/>
        <w:szCs w:val="16"/>
        <w:color w:val="F2CE00"/>
      </w:rPr>
      <w:t xml:space="preserve">/ </w:t>
    </w:r>
    <w:r>
      <w:rPr>
        <w:rFonts w:ascii="Arial" w:hAnsi="Arial" w:cs="Arial"/>
        <w:sz w:val="16"/>
        <w:szCs w:val="16"/>
        <w:color w:val="777777"/>
      </w:rPr>
      <w:t xml:space="preserve">www.vatravel.az</w:t>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spacing w:after="0"/>
    </w:pPr>
    <w:r>
      <w:drawing>
        <wp:inline distT="0" distB="0" distL="0" distR="0">
          <wp:extent cx="2080000" cy="315410"/>
          <wp:docPr id="1" name="VATRAVEL logo"/>
          <a:graphic>
            <a:graphicData uri="http://schemas.openxmlformats.org/drawingml/2006/picture">
              <pic:pic>
                <pic:nvPicPr>
                  <pic:cNvPr id="0" name="VATRAVEL logo"/>
                  <pic:cNvPicPr/>
                </pic:nvPicPr>
                <pic:blipFill>
                  <a:blip r:embed="rId1"/>
                  <a:stretch>
                    <a:fillRect/>
                  </a:stretch>
                </pic:blipFill>
                <pic:spPr>
                  <a:xfrm>
                    <a:off x="0" y="0"/>
                    <a:ext cx="2080000" cy="315410"/>
                  </a:xfrm>
                  <a:prstGeom prst="rect">
                    <a:avLst/>
                  </a:prstGeom>
                </pic:spPr>
              </pic:pic>
            </a:graphicData>
          </a:graphic>
        </wp:inline>
      </w:drawing>
    </w:r>
  </w:p>
</w:hdr>
</file>

<file path=word/styles.xml><?xml version="1.0" encoding="utf-8"?>
<w:styles xmlns:w="http://schemas.openxmlformats.org/wordprocessingml/2006/main">
  <w:docDefaults>
    <w:rPrDefault>
      <w:rPr>
        <w:rFonts w:ascii="Arial" w:hAnsi="Arial" w:eastAsia="Arial" w:cs="Arial"/>
        <w:lang w:val="es-ES" w:eastAsia="es-ES"/>
      </w:rPr>
    </w:rPrDefault>
  </w:docDefaults>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image" Target="media/programme.jpg"/></Relationships>
</file>

<file path=word/_rels/header1.xml.rels><?xml version="1.0" encoding="UTF-8" standalone="yes"?><Relationships xmlns="http://schemas.openxmlformats.org/package/2006/relationships"><Relationship Id="rId1" Type="http://schemas.openxmlformats.org/officeDocument/2006/relationships/image" Target="media/logo.png"/></Relationships>
</file>