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 w:val="false"/>
        <w:spacing w:after="170" w:before="220"/>
        <w:jc w:val="left"/>
      </w:pPr>
      <w:r>
        <w:rPr>
          <w:b/>
          <w:bCs/>
          <w:color w:val="D5A800"/>
          <w:sz w:val="20"/>
          <w:szCs w:val="20"/>
        </w:rPr>
        <w:t xml:space="preserve">PROGRAMA DE VIAGEM</w:t>
      </w:r>
    </w:p>
    <w:p>
      <w:pPr>
        <w:pStyle w:val="Title"/>
        <w:keepNext/>
        <w:bidi w:val="false"/>
        <w:spacing w:after="210"/>
        <w:jc w:val="left"/>
      </w:pPr>
      <w:r>
        <w:rPr>
          <w:b/>
          <w:bCs/>
          <w:color w:val="151515"/>
          <w:sz w:val="34"/>
          <w:szCs w:val="34"/>
        </w:rPr>
        <w:t xml:space="preserve">Azerbaijão, Uzbequistão e Turquemenistão: a rota de Marco Polo</w:t>
      </w:r>
    </w:p>
    <w:p>
      <w:pPr>
        <w:bidi w:val="false"/>
        <w:spacing w:after="220" w:line="300"/>
        <w:jc w:val="left"/>
      </w:pPr>
      <w:r>
        <w:rPr>
          <w:color w:val="151515"/>
          <w:sz w:val="21"/>
          <w:szCs w:val="21"/>
          <w:rtl w:val="false"/>
        </w:rPr>
        <w:t xml:space="preserve">Quinze dias pelo Cáspio e pela Ásia Central: de Baku e das aldeias do Cáucaso a Samarkand, Bukhara, Khiva, à cratera de Darvaza e a Ashgabat. Programa com guia de língua inglesa. Os horários dos voos e dos comboios serão reconfirmados antes da viagem. Contacte a nossa equipa para uma proposta privada para a sua agência.</w:t>
      </w:r>
    </w:p>
    <w:p>
      <w:pPr>
        <w:bidi w:val="false"/>
        <w:spacing w:after="110"/>
        <w:jc w:val="left"/>
      </w:pPr>
      <w:r>
        <w:rPr>
          <w:b/>
          <w:bCs/>
          <w:color w:val="151515"/>
          <w:sz w:val="20"/>
          <w:szCs w:val="20"/>
        </w:rPr>
        <w:t xml:space="preserve">Duração: </w:t>
      </w:r>
      <w:r>
        <w:rPr>
          <w:color w:val="575757"/>
          <w:sz w:val="20"/>
          <w:szCs w:val="20"/>
        </w:rPr>
        <w:t xml:space="preserve">15 dias · 14 noites</w:t>
      </w:r>
    </w:p>
    <w:p>
      <w:pPr>
        <w:bidi w:val="false"/>
        <w:spacing w:after="220"/>
        <w:jc w:val="left"/>
      </w:pPr>
      <w:r>
        <w:rPr>
          <w:b/>
          <w:bCs/>
          <w:color w:val="151515"/>
          <w:sz w:val="20"/>
          <w:szCs w:val="20"/>
        </w:rPr>
        <w:t xml:space="preserve">Percurso: </w:t>
      </w:r>
      <w:r>
        <w:rPr>
          <w:color w:val="575757"/>
          <w:sz w:val="20"/>
          <w:szCs w:val="20"/>
        </w:rPr>
        <w:t xml:space="preserve">Baku · Guba · Khinalig · Tashkent · Samarkand · Bukhara · Khiva · Darvaza · Ashgabat</w:t>
      </w:r>
    </w:p>
    <w:p>
      <w:pPr>
        <w:bidi w:val="false"/>
        <w:spacing w:after="250" w:before="60"/>
        <w:jc w:val="left"/>
      </w:pPr>
      <w:r>
        <w:drawing>
          <wp:inline distT="0" distB="0" distL="0" distR="0">
            <wp:extent cx="4572000" cy="3048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bidi w:val="false"/>
        <w:spacing w:after="260" w:before="180"/>
        <w:jc w:val="left"/>
      </w:pPr>
      <w:r>
        <w:rPr>
          <w:b/>
          <w:bCs/>
          <w:color w:val="D5A800"/>
          <w:sz w:val="27"/>
          <w:szCs w:val="27"/>
        </w:rPr>
        <w:t xml:space="preserve">Itinerário dia a dia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Dia 1  /  </w:t>
      </w:r>
      <w:r>
        <w:rPr>
          <w:b/>
          <w:bCs/>
          <w:color w:val="151515"/>
          <w:sz w:val="23"/>
          <w:szCs w:val="23"/>
        </w:rPr>
        <w:t xml:space="preserve">Chegada a Baku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Chegada ao aeroporto de Baku. Transfer opcional para o hotel e alojamento na cidade.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Dia 2  /  </w:t>
      </w:r>
      <w:r>
        <w:rPr>
          <w:b/>
          <w:bCs/>
          <w:color w:val="151515"/>
          <w:sz w:val="23"/>
          <w:szCs w:val="23"/>
        </w:rPr>
        <w:t xml:space="preserve">Baku – Gobustan – Baku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Pequeno-almoço e excursão a Gobustan, com visita ao museu e às gravuras rupestres. Continuação para os vulcões de lama e regresso a Baku para visitar a Mesquita de Bibi-Heybat. Passeio por Icherisheher, incluindo o Palácio dos Shirvanshahs, a Torre da Donzela, as ruínas da Igreja de São Bartolomeu, os antigos hammams e as mesquitas históricas. Almoço incluído, jantar livre e alojamento em Baku.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UNESCO: Cidade amuralhada de Baku com o Palácio dos Shirvanshahs e a Torre da Donzela; Paisagem cultural de arte rupestre de Gobustan.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Dia 3  /  </w:t>
      </w:r>
      <w:r>
        <w:rPr>
          <w:b/>
          <w:bCs/>
          <w:color w:val="151515"/>
          <w:sz w:val="23"/>
          <w:szCs w:val="23"/>
        </w:rPr>
        <w:t xml:space="preserve">Baku – Península de Absheron – Baku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Pequeno-almoço e visita ao miradouro de Baku, com vista para a baía do Cáspio. Excursão à Península de Absheron para visitar o Templo do Fogo de Ateshgah, em Surakhani, e Yanar Dag. No regresso a Baku, visita ao Centro Heydar Aliyev (visita exterior), de Zaha Hadid, e ao Yashil Bazaar, conhecido pelos produtos frescos, especiarias e especialidades locais. Almoço incluído e alojamento em Baku.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Dia 4  /  </w:t>
      </w:r>
      <w:r>
        <w:rPr>
          <w:b/>
          <w:bCs/>
          <w:color w:val="151515"/>
          <w:sz w:val="23"/>
          <w:szCs w:val="23"/>
        </w:rPr>
        <w:t xml:space="preserve">Baku: arte, museus e marginal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Depois do pequeno-almoço, visita ao espaço de arte contemporânea YARAT e ao Museu do Tapete. Passeio pela marginal do Cáspio e almoço num restaurante local. À tarde, visita ao Museu Nacional de História do Azerbaijão e à casa de Haji Zeynalabdin Taghiyev. Regresso ao hotel e alojamento em Baku.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Dia 5  /  </w:t>
      </w:r>
      <w:r>
        <w:rPr>
          <w:b/>
          <w:bCs/>
          <w:color w:val="151515"/>
          <w:sz w:val="23"/>
          <w:szCs w:val="23"/>
        </w:rPr>
        <w:t xml:space="preserve">Baku – Guba – Khinalig – Baku – Tashkent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Partida de manhã para Guba e visita à Aldeia Vermelha, Qırmızı Qəsəbə. Visita a uma oficina de tapetes tradicionais e almoço numa casa local. À tarde, viagem para Khinalig e visita ao Museu de História Local. Regresso a Baku e transfer para o aeroporto para o voo direto para Tashkent. Chegada de madrugada, receção pelo guia e motorista locais, transfer para o hotel e alojamento. O horário do voo será reconfirmado antes da viagem.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UNESCO: Paisagem cultural do povo de Khinalig e rota de transumância «Köç Yolu».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Dia 6  /  </w:t>
      </w:r>
      <w:r>
        <w:rPr>
          <w:b/>
          <w:bCs/>
          <w:color w:val="151515"/>
          <w:sz w:val="23"/>
          <w:szCs w:val="23"/>
        </w:rPr>
        <w:t xml:space="preserve">Tashkent – Samarkand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Pequeno-almoço e visita à parte antiga de Tashkent: complexo Hazrati Imam, Madraça Barak-Khan, Mesquita Tillya Sheikh e Mausoléu de Abu Bakr Kaffal Shashi. Visita ao Bazar Chorsu, ao Museu de Artes Aplicadas e às estações de metro Kosmonavtlar e Alisher Navoi. Almoço e visita à Praça Amir Timur e à Praça do Teatro. À tarde, transfer para a estação e comboio para Samarkand. Chegada e transfer para o hotel.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Dia 7  /  </w:t>
      </w:r>
      <w:r>
        <w:rPr>
          <w:b/>
          <w:bCs/>
          <w:color w:val="151515"/>
          <w:sz w:val="23"/>
          <w:szCs w:val="23"/>
        </w:rPr>
        <w:t xml:space="preserve">Samarkand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Pequeno-almoço e visita à Praça Registan, com as madraças Ulugbek, Sher-Dor e Tilla-Kori. Continuação para o Mausoléu Gur-e Amir, a Mesquita Bibi-Khanym e o Bazar Siab. Almoço num restaurante local e visita à necrópole Shakhi Zinda à tarde. Alojamento em Samarkand.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UNESCO: Samarkand – Encruzilhada de culturas.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Dia 8  /  </w:t>
      </w:r>
      <w:r>
        <w:rPr>
          <w:b/>
          <w:bCs/>
          <w:color w:val="151515"/>
          <w:sz w:val="23"/>
          <w:szCs w:val="23"/>
        </w:rPr>
        <w:t xml:space="preserve">Samarkand – Bukhara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Pequeno-almoço e transfer para a estação para a viagem a Bukhara. Se não houver lugares no comboio, o percurso será feito por estrada. Visita ao Mausoléu Samanid, Chashma Ayub, Mesquita Bolo Hauz e Cidadela Ark. Depois do almoço, visita ao Minarete Kalyan, Mesquita Poi Kalyan, Madraça Miri Arab, mercados cobertos Toki Zargaron, Toki Telpak Furushon e Toki Sarafon, madraças Ulugbek e Abdullazizkhan, Mesquita Magoki Attori, complexo Lyabi Hauz e Chor Minor. Alojamento em Bukhara.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UNESCO: Centro histórico de Bukhara.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Dia 9  /  </w:t>
      </w:r>
      <w:r>
        <w:rPr>
          <w:b/>
          <w:bCs/>
          <w:color w:val="151515"/>
          <w:sz w:val="23"/>
          <w:szCs w:val="23"/>
        </w:rPr>
        <w:t xml:space="preserve">Bukhara – Khiva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Depois do pequeno-almoço, viagem por estrada para Khiva, através do Deserto de Kyzylkum: aproximadamente 451 km e sete horas. Almoço durante o percurso. Chegada ao hotel e tempo livre para descansar. Alojamento em Khiva.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Dia 10  /  </w:t>
      </w:r>
      <w:r>
        <w:rPr>
          <w:b/>
          <w:bCs/>
          <w:color w:val="151515"/>
          <w:sz w:val="23"/>
          <w:szCs w:val="23"/>
        </w:rPr>
        <w:t xml:space="preserve">Khiva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Pequeno-almoço e visita a Ichan-Kala: Kalta Minor, Fortaleza Kunya Ark, madraças Mohammed Rahim Khan e Islam Khodja, Palácio Tash Hovli, Mausoléu Pahlavan Mahmud e Madraça Allakulikhan. Almoço num restaurante local. Alojamento num hotel dentro da cidade histórica amuralhada.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UNESCO: Itchan Kala, Khiva.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Dia 11  /  </w:t>
      </w:r>
      <w:r>
        <w:rPr>
          <w:b/>
          <w:bCs/>
          <w:color w:val="151515"/>
          <w:sz w:val="23"/>
          <w:szCs w:val="23"/>
        </w:rPr>
        <w:t xml:space="preserve">Khiva – Dashoguz – Darvaza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Pequeno-almoço e transfer para a fronteira de Shavat para entrar no Turquemenistão. Continuação para Darvaza pela região de Dashoguz, num percurso de cerca de 300 km. Visita à cratera de gás e à paisagem ao anoitecer. Jantar de churrasco e alojamento perto da cratera.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Dia 12  /  </w:t>
      </w:r>
      <w:r>
        <w:rPr>
          <w:b/>
          <w:bCs/>
          <w:color w:val="151515"/>
          <w:sz w:val="23"/>
          <w:szCs w:val="23"/>
        </w:rPr>
        <w:t xml:space="preserve">Darvaza – Ashgabat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Pequeno-almoço tipo piquenique e transfer de cerca de 280 km para Ashgabat. À tarde, visita à cidade, com o Palácio Presidencial, Palácio Ruhyyet, Palácio dos Casamentos, Hotel Yildyz, roda panorâmica, Monumento à Constituição, Arco da Neutralidade, Monumento e Parque da Independência, Mesquita Ertogrul Gazi, instalações desportivas e complexos residenciais. Almoço incluído e alojamento em Ashgabat.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Dia 13  /  </w:t>
      </w:r>
      <w:r>
        <w:rPr>
          <w:b/>
          <w:bCs/>
          <w:color w:val="151515"/>
          <w:sz w:val="23"/>
          <w:szCs w:val="23"/>
        </w:rPr>
        <w:t xml:space="preserve">Ashgabat – Nisa – Kipchak – Ashgabat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Depois do pequeno-almoço, visita à Fortaleza de Nisa, perto de Bagyr, e ao Museu Nacional de História e Etnografia. Continuação para Kipchak e visita à Mesquita Turkmenbashy Ruhy. Visita ao complexo memorial Halk Hakydasy e ao Museu Watan Mukaddesligi. Almoço incluído e alojamento em Ashgabat.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UNESCO: Fortalezas partas de Nisa.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Dia 14  /  </w:t>
      </w:r>
      <w:r>
        <w:rPr>
          <w:b/>
          <w:bCs/>
          <w:color w:val="151515"/>
          <w:sz w:val="23"/>
          <w:szCs w:val="23"/>
        </w:rPr>
        <w:t xml:space="preserve">Ashgabat – Arkadag – Gokdepe – Ashgabat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Pequeno-almoço e partida para Gokdepe via Arkadag, no sopé das Montanhas Kopetdag. Visita a uma criação de cavalos Akhal-Teke, à Fortaleza de Gokdepe e à Mesquita Saparmyrat Hajy. Encontro com uma família local para conhecer os trajes, a produção de tapetes e feltro e a preparação de pratos como dograma e ishlekli, pão tradicional e pishme. Almoço com a família. Regresso a Ashgabat e visita ao Bazar Gulistan. Alojamento no hotel.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Dia 15  /  </w:t>
      </w:r>
      <w:r>
        <w:rPr>
          <w:b/>
          <w:bCs/>
          <w:color w:val="151515"/>
          <w:sz w:val="23"/>
          <w:szCs w:val="23"/>
        </w:rPr>
        <w:t xml:space="preserve">Partida de Ashgabat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Transfer para o aeroporto internacional de Ashgabat e partida no voo de regresso.</w:t>
      </w:r>
    </w:p>
    <w:sectPr>
      <w:headerReference w:type="default" r:id="rId7"/>
      <w:footerReference w:type="default" r:id="rId8"/>
      <w:pgSz w:w="11906" w:h="16838" w:orient="portrait"/>
      <w:pgMar w:top="1480" w:right="1120" w:bottom="1180" w:left="1120" w:header="430" w:footer="43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 w:val="false"/>
      <w:jc w:val="center"/>
    </w:pPr>
    <w:r>
      <w:rPr>
        <w:color w:val="575757"/>
        <w:sz w:val="16"/>
        <w:szCs w:val="16"/>
      </w:rPr>
      <w:t xml:space="preserve">+994 51 585 55 64</w:t>
    </w:r>
    <w:r>
      <w:rPr>
        <w:b/>
        <w:bCs/>
        <w:color w:val="D5A800"/>
        <w:sz w:val="16"/>
        <w:szCs w:val="16"/>
      </w:rPr>
      <w:t xml:space="preserve">   /   </w:t>
    </w:r>
    <w:r>
      <w:rPr>
        <w:color w:val="575757"/>
        <w:sz w:val="16"/>
        <w:szCs w:val="16"/>
      </w:rPr>
      <w:t xml:space="preserve">incoming@vatravel.az</w:t>
    </w:r>
    <w:r>
      <w:rPr>
        <w:b/>
        <w:bCs/>
        <w:color w:val="D5A800"/>
        <w:sz w:val="16"/>
        <w:szCs w:val="16"/>
      </w:rPr>
      <w:t xml:space="preserve">   /   </w:t>
    </w:r>
    <w:r>
      <w:rPr>
        <w:color w:val="575757"/>
        <w:sz w:val="16"/>
        <w:szCs w:val="16"/>
      </w:rPr>
      <w:t xml:space="preserve">vatravel.az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 w:val="false"/>
      <w:jc w:val="left"/>
    </w:pPr>
    <w:r>
      <w:drawing>
        <wp:inline distT="0" distB="0" distL="0" distR="0">
          <wp:extent cx="1943100" cy="29527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2952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Microsoft YaHei" w:hAnsi="Arial"/>
        <w:sz w:val="22"/>
        <w:szCs w:val="22"/>
        <w:rtl w:val="fal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qFormat/>
    <w:pPr>
      <w:spacing w:after="210"/>
    </w:pPr>
    <w:rPr>
      <w:rFonts w:ascii="Arial" w:cs="Arial" w:eastAsia="Arial" w:hAnsi="Arial"/>
      <w:b/>
      <w:bCs/>
      <w:color w:val="151515"/>
      <w:sz w:val="34"/>
      <w:szCs w:val="3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9e5173b1d57952c99d7b74630c07dd4de112561c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9cab3174d382cedc724728a803b8538b4ee231b5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Azerbaijão, Uzbequistão e Turquemenistão: a rota de Marco Polo</dc:title>
  <dc:creator>VATRAVEL</dc:creator>
  <dc:description>Programa de viagem - VATRAVEL</dc:description>
  <cp:lastModifiedBy>Un-named</cp:lastModifiedBy>
  <cp:revision>1</cp:revision>
  <dcterms:created xsi:type="dcterms:W3CDTF">2026-10-05T14:40:43.001Z</dcterms:created>
  <dcterms:modified xsi:type="dcterms:W3CDTF">2026-10-05T14:40:43.001Z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