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160" w:line="360" w:lineRule="auto"/>
        <w:keepNext/>
        <w:jc w:val="center"/>
      </w:pPr>
      <w:r>
        <w:rPr>
          <w:rFonts w:ascii="Arial" w:hAnsi="Arial" w:cs="Arial"/>
          <w:b/>
          <w:sz w:val="28"/>
          <w:szCs w:val="28"/>
          <w:color w:val="BF8F00"/>
        </w:rPr>
        <w:t xml:space="preserve">Azerbaijão, Uzbequistão e Turquemenistão: a rota de Marco Polo</w:t>
      </w:r>
    </w:p>
    <w:p>
      <w:pPr>
        <w:spacing w:before="0" w:after="160" w:line="360" w:lineRule="auto"/>
        <w:keepNext/>
        <w:jc w:val="center"/>
      </w:pPr>
      <w:r>
        <w:rPr>
          <w:rFonts w:ascii="Arial" w:hAnsi="Arial" w:cs="Arial"/>
          <w:b/>
          <w:sz w:val="24"/>
          <w:szCs w:val="24"/>
          <w:color w:val="202020"/>
        </w:rPr>
        <w:t xml:space="preserve">14 noites</w:t>
      </w:r>
    </w:p>
    <w:p>
      <w:pPr>
        <w:jc w:val="center"/>
        <w:spacing w:before="80" w:after="180"/>
        <w:keepNext/>
      </w:pPr>
      <w:r>
        <w:drawing>
          <wp:inline distT="0" distB="0" distL="0" distR="0">
            <wp:extent cx="6026150" cy="1980569"/>
            <wp:docPr id="2" name="Programme photo" descr="Azerbaijão, Uzbequistão e Turquemenistão: a rota de Marco Polo"/>
            <a:graphic>
              <a:graphicData uri="http://schemas.openxmlformats.org/drawingml/2006/picture">
                <pic:pic>
                  <pic:nvPicPr>
                    <pic:cNvPr id="2" name="Programme photo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26150" cy="1980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60" w:after="120" w:line="360" w:lineRule="auto"/>
        <w:keepNext/>
      </w:pPr>
      <w:r>
        <w:rPr>
          <w:rFonts w:ascii="Arial" w:hAnsi="Arial" w:cs="Arial"/>
          <w:b/>
          <w:sz w:val="24"/>
          <w:szCs w:val="24"/>
          <w:color w:val="202020"/>
        </w:rPr>
        <w:t xml:space="preserve">Datas de partidas garantidas</w:t>
      </w:r>
    </w:p>
    <w:p>
      <w:pPr>
        <w:spacing w:before="0" w:after="140" w:line="360" w:lineRule="auto"/>
      </w:pPr>
      <w:r>
        <w:rPr>
          <w:rFonts w:ascii="Arial" w:hAnsi="Arial" w:cs="Arial"/>
          <w:sz w:val="22"/>
          <w:szCs w:val="22"/>
          <w:color w:val="202020"/>
        </w:rPr>
        <w:t xml:space="preserve">Atualmente não há partidas publicadas neste idioma.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Dia 1: Chegada a Baku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Chegada ao aeroporto de Baku. Transfer opcional para o hotel e alojamento na cidade.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O circuito começa às 09:15.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Dia 2: Baku – Gobustan – Baku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Pequeno-almoço e excursão a Gobustan, com visita ao museu e às gravuras rupestres. A paisagem de arte rupestre de Gobustan, Património Mundial da UNESCO, conserva milhares de gravuras nos blocos de um planalto semidesértico. Caçadores, animais selvagens, barcos e grupos de dançarinos revelam a vida, as deslocações e as crenças de comunidades antigas. O museu explica estas imagens através dos povoados pré-históricos e das mudanças do ambiente, ajudando a interpretar as pequenas figuras na pedra.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Continuação para os vulcões de lama e regresso a Baku para visitar a Mesquita de Bibi-Heybat. Os vulcões de lama resultam de gases que sobem através da água e dos sedimentos subterrâneos. Bolhas rompem a superfície cinzenta e pequenos cones acumulam-se junto às aberturas, formando uma paisagem nua moldada por lama, em vez de lava. O Azerbaijão reúne uma concentração excecional destas formações. São uma atração natural distinta do sítio UNESCO de arte rupestre de Gobustan. Bibi-Heybat é uma mesquita de peregrinação na entrada sul de Baku, frente à costa do Cáspio. O conjunto atual reconstrói um santuário histórico destruído na época soviética. Cúpulas, minaretes e interiores decorados tornam-na uma referência do património islâmico. Continua a ser um lugar de culto, com visita sujeita às regras de acesso e oração.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Passeio por Icherisheher, incluindo o Palácio dos Shirvanshahs, a Torre da Donzela, as ruínas da Igreja de São Bartolomeu, os antigos hammams e as mesquitas históricas. Icherisheher é a cidade amuralhada de Baku, ainda habitada e reconhecida pela UNESCO com o Palácio dos Shirvanshahs e a Torre da Donzela. As ruelas ligam mesquitas, caravançarais e banhos da cidade mercantil medieval. O palácio do século XV foi residência dos governantes de Shirvan; a torre cilíndrica, com espessas paredes de pedra, é um dos monumentos mais antigos da capital. A arquitetura mostra Baku antes das transformações da era do petróleo.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Almoço incluído, jantar livre e alojamento em Baku.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Dia 3: Baku – Península de Absheron – Baku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Pequeno-almoço e visita ao miradouro de Baku, com vista para a baía do Cáspio. Excursão à Península de Absheron para visitar o Templo do Fogo de Ateshgah, em Surakhani, e Yanar Dag. O recinto de pedra de Ateshgah rodeia um altar central do fogo e pequenas celas usadas pelos peregrinos. As inscrições e o pátio recordam os comerciantes hindus e sikhs que viajavam até Absheron, a par das antigas tradições locais de culto do fogo. O conjunto conservado data sobretudo dos séculos XVII e XVIII, quando as rotas comerciais ligavam Baku ao subcontinente indiano. Em Yanar Dag, o gás natural que sai da encosta alimenta uma linha de chamas na base da rocha. O fogo vem do solo, não de uma erupção vulcânica, explicando de forma visível o nome “Terra do Fogo”. A colina baixa e a rocha exposta distinguem este fenómeno natural do altar de Ateshgah.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No regresso a Baku, visita ao Centro Heydar Aliyev (visita exterior), de Zaha Hadid, e ao Yashil Bazaar, conhecido pelos produtos frescos, especiarias e especialidades locais. O Centro Heydar Aliyev de Zaha Hadid distingue-se pelas curvas brancas contínuas: a superfície eleva-se da praça e dobra-se até formar a cobertura, evitando as linhas retas de uma fachada convencional. Visto do exterior, os diferentes ângulos revelam uma composição que une arquitetura e jardins. A paragem é exterior, sem prever entrada nas exposições. As bancas do Yashil Bazaar expõem fruta da época, ervas, nozes, frutos secos e especiarias aromáticas. Romãs, chá e conservas são produtos associados à cozinha azerbaijana. O mercado mostra como as colheitas de diferentes regiões chegam a Baku e permite observar as compras quotidianas entre cestos de fruta, legumes em conserva e especialidades locais.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Almoço incluído e alojamento em Baku.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Dia 4: Baku: arte, museus e marginal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Depois do pequeno-almoço, visita ao espaço de arte contemporânea YARAT e ao Museu do Tapete. A forma de tapete enrolado do museu anuncia a coleção. Cores, bordaduras geométricas e motivos florais distinguem tradições regionais; tecidos planos e tapetes de nós mostram técnicas diferentes. As exposições explicam o seu papel nas casas e cerimónias, revelando o trabalho artesanal por trás de um objeto familiar. YARAT apresenta arte contemporânea num edifício industrial reconvertido junto à frente marítima. Pintura, instalações, fotografia e vídeo exploram a vida e as ideias do Azerbaijão e da região. Oferece uma perspetiva diferente das coleções históricas de Baku; as obras variam com as exposições.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Passeio pela marginal do Cáspio e almoço num restaurante local. À tarde, visita ao Museu Nacional de História do Azerbaijão e à casa de Haji Zeynalabdin Taghiyev. O Museu Nacional de História ocupa a antiga mansão do empresário petrolífero e filantropo Haji Zeynalabdin Taghiyev. Objetos arqueológicos, armas, moedas e utensílios domésticos percorrem várias épocas do Azerbaijão. Os aposentos familiares restaurados mostram também a riqueza de Baku na era do petróleo, com tetos decorados, salas de receção e mobiliário do final do século XIX.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Regresso ao hotel e alojamento em Baku.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Dia 5: Baku – Guba – Khinalig – Baku – Tashkent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Partida de manhã para Guba e visita à Aldeia Vermelha, Qırmızı Qəsəbə. Visita a uma oficina de tapetes tradicionais e almoço numa casa local. À tarde, viagem para Khinalig e visita ao Museu de História Local. As casas de pedra de Khinalig agrupam-se numa encosta íngreme, com telhados e terraços adaptados ao relevo. A comunidade conserva uma língua própria e uma economia pastoril ligada às deslocações sazonais. A UNESCO reconhece a paisagem cultural do seu povo e a rota de transumância Köç Yolu, que une a aldeia aos pastos de verão e inverno. O património inclui o povoado e a prática viva do pastoreio de montanha.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Regresso a Baku e transfer para o aeroporto para o voo direto para Tashkent. Chegada de madrugada, receção pelo guia e motorista locais, transfer para o hotel e alojamento. O horário do voo será reconfirmado antes da viagem.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Dia 6: Tashkent – Samarkand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Pequeno-almoço e visita à parte antiga de Tashkent: complexo Hazrati Imam, Madraça Barak-Khan, Mesquita Tillya Sheikh e Mausoléu de Abu Bakr Kaffal Shashi. O complexo Hazrati Imam de Tashkent reúne madraças, mesquitas e o mausoléu de Kaffal Shashi. O grande bazar coberto Chorsu contrasta com a madeira trabalhada e os objetos decorativos do Museu de Artes Aplicadas. Sob a cidade, o metro usa mosaicos, mármore e temas decorativos: Kosmonavtlar evoca o espaço, Alisher Navoi o património literário e arquitetónico regional.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Visita ao Bazar Chorsu, ao Museu de Artes Aplicadas e às estações de metro Kosmonavtlar e Alisher Navoi. Almoço e visita à Praça Amir Timur e à Praça do Teatro. À tarde, transfer para a estação e comboio para Samarkand. Chegada e transfer para o hotel.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Dia 7: Samarkand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Pequeno-almoço e visita à Praça Registan, com as madraças Ulugbek, Sher-Dor e Tilla-Kori. Os monumentos UNESCO de Samarcanda mostram o papel da cidade como centro do poder timúrida e do saber. As três madraças do Registan enquadram a praça com portais e fachadas de cerâmica; Gur-e-Amir é o mausoléu dinástico associado a Timur. A escala de Bibi-Khanym e os túmulos próximos de Shakhi-Zinda mostram diferentes usos de azulejos, caligrafia e geometria. O mercado Siab continua a tradição comercial nas bancas de alimentos.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Continuação para o Mausoléu Gur-e Amir, a Mesquita Bibi-Khanym e o Bazar Siab. Almoço num restaurante local e visita à necrópole Shakhi Zinda à tarde. Alojamento em Samarkand.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Dia 8: Samarkand – Bukhara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Pequeno-almoço e transfer para a estação para a viagem a Bukhara. Se não houver lugares no comboio, o percurso será feito por estrada. Visita ao Mausoléu Samanid, Chashma Ayub, Mesquita Bolo Hauz e Cidadela Ark. O centro histórico UNESCO de Bukhara conserva a estrutura de uma cidade mercantil e religiosa. O Mausoléu dos Samânidas cria padrões complexos com tijolos, em vez de azulejos coloridos. A Ark foi a sede fortificada dos governantes; o minarete Kalyan, a mesquita e a madraça próximas marcam o centro religioso. Cúpulas comerciais e o tanque de Lyabi-Hauz mostram como mercados, estudo e vida social partilhavam as ruas.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Depois do almoço, visita ao Minarete Kalyan, Mesquita Poi Kalyan, Madraça Miri Arab, mercados cobertos Toki Zargaron, Toki Telpak Furushon e Toki Sarafon, madraças Ulugbek e Abdullazizkhan, Mesquita Magoki Attori, complexo Lyabi Hauz e Chor Minor. Alojamento em Bukhara.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Dia 9: Bukhara – Khiva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Depois do pequeno-almoço, viagem por estrada para Khiva, através do Deserto de Kyzylkum: aproximadamente 451 km e sete horas. Almoço durante o percurso. Chegada ao hotel e tempo livre para descansar. Alojamento em Khiva.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Dia 10: Khiva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Pequeno-almoço e visita a Ichan-Kala: Kalta Minor, Fortaleza Kunya Ark, madraças Mohammed Rahim Khan e Islam Khodja, Palácio Tash Hovli, Mausoléu Pahlavan Mahmud e Madraça Allakulikhan. Itchan Kala é a cidade interior de Khiva, património UNESCO, rodeada por espessas muralhas de terra. Kalta Minor distingue-se pela forma larga e inacabada e pelos azulejos turquesa; o minarete mais alto de Islam Khodja ergue-se acima dos telhados. Palácios, madraças e mausoléus ocupam as ruelas; colunas de madeira talhada e pátios decorados mostram o artesanato da antiga capital do canato.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Almoço num restaurante local. Alojamento num hotel dentro da cidade histórica amuralhada.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Dia 11: Khiva – Dashoguz – Darvaza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Pequeno-almoço e transfer para a fronteira de Shavat para entrar no Turquemenistão. Continuação para Darvaza pela região de Dashoguz, num percurso de cerca de 300 km. Visita à cratera de gás e à paisagem ao anoitecer. Jantar de churrasco e alojamento perto da cratera.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Dia 12: Darvaza – Ashgabat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Pequeno-almoço tipo piquenique e transfer de cerca de 280 km para Ashgabat. À tarde, visita à cidade, com o Palácio Presidencial, Palácio Ruhyyet, Palácio dos Casamentos, Hotel Yildyz, roda panorâmica, Monumento à Constituição, Arco da Neutralidade, Monumento e Parque da Independência, Mesquita Ertogrul Gazi, instalações desportivas e complexos residenciais. Almoço incluído e alojamento em Ashgabat.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Dia 13: Ashgabat – Nisa – Kipchak – Ashgabat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Depois do pequeno-almoço, visita à Fortaleza de Nisa, perto de Bagyr, e ao Museu Nacional de História e Etnografia. As Fortalezas partas de Nisa, património UNESCO, conservam as ruínas de Nisa Antiga e Nova junto ao Kopet Dag. Nisa Antiga foi um importante centro real do mundo parto. Muralhas, espaços cerimoniais e armazéns escavados revelam uma cultura que combinava tradições locais e influências helenísticas, muito antes das avenidas de mármore de Ashgabat.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Continuação para Kipchak e visita à Mesquita Turkmenbashy Ruhy. Visita ao complexo memorial Halk Hakydasy e ao Museu Watan Mukaddesligi. Almoço incluído e alojamento em Ashgabat.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Dia 14: Ashgabat – Arkadag – Gokdepe – Ashgabat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Pequeno-almoço e partida para Gokdepe via Arkadag, no sopé das Montanhas Kopetdag. Visita a uma criação de cavalos Akhal-Teke, à Fortaleza de Gokdepe e à Mesquita Saparmyrat Hajy. O cavalo Akhal-Teke recebe o nome do oásis de Ahal e do povo Teke. Corpo esguio, pescoço longo e pelagem fina distinguem a raça, desenvolvida por gerações de criadores turcomanos. Saberes da criação e tradições decorativas são património imaterial UNESCO. A visita à quinta apresenta os cuidados e o treino deste símbolo cultural.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Encontro com uma família local para conhecer os trajes, a produção de tapetes e feltro e a preparação de pratos como dograma e ishlekli, pão tradicional e pishme. Almoço com a família. Regresso a Ashgabat e visita ao Bazar Gulistan. Alojamento no hotel.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Dia 15: Partida de Ashgabat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Transfer para o aeroporto internacional de Ashgabat e partida no voo de regresso.</w:t>
      </w:r>
    </w:p>
    <w:sectPr>
      <w:headerReference w:type="default" r:id="rId1"/>
      <w:footerReference w:type="default" r:id="rId2"/>
      <w:pgSz w:w="11906" w:h="16838"/>
      <w:pgMar w:top="1850" w:right="1134" w:bottom="1134" w:left="1134" w:header="68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 w:line="240" w:lineRule="auto"/>
      <w:tabs>
        <w:tab w:val="left" w:pos="2500"/>
        <w:tab w:val="left" w:pos="5000"/>
        <w:tab w:val="left" w:pos="7500"/>
      </w:tabs>
    </w:pPr>
    <w:r>
      <w:rPr>
        <w:rFonts w:ascii="Arial" w:hAnsi="Arial" w:cs="Arial"/>
        <w:sz w:val="16"/>
        <w:szCs w:val="16"/>
        <w:color w:val="777777"/>
      </w:rPr>
      <w:t xml:space="preserve">+994 51 585 55 64</w:t>
    </w:r>
    <w:r>
      <w:tab/>
    </w:r>
    <w:r>
      <w:rPr>
        <w:rFonts w:ascii="Arial" w:hAnsi="Arial" w:cs="Arial"/>
        <w:sz w:val="16"/>
        <w:szCs w:val="16"/>
        <w:color w:val="F2CE00"/>
      </w:rPr>
      <w:t xml:space="preserve">/ </w:t>
    </w:r>
    <w:r>
      <w:rPr>
        <w:rFonts w:ascii="Arial" w:hAnsi="Arial" w:cs="Arial"/>
        <w:sz w:val="16"/>
        <w:szCs w:val="16"/>
        <w:color w:val="777777"/>
      </w:rPr>
      <w:t xml:space="preserve">+994 50 644 93 49</w:t>
    </w:r>
    <w:r>
      <w:tab/>
    </w:r>
    <w:r>
      <w:rPr>
        <w:rFonts w:ascii="Arial" w:hAnsi="Arial" w:cs="Arial"/>
        <w:sz w:val="16"/>
        <w:szCs w:val="16"/>
        <w:color w:val="F2CE00"/>
      </w:rPr>
      <w:t xml:space="preserve">/ </w:t>
    </w:r>
    <w:r>
      <w:rPr>
        <w:rFonts w:ascii="Arial" w:hAnsi="Arial" w:cs="Arial"/>
        <w:sz w:val="16"/>
        <w:szCs w:val="16"/>
        <w:color w:val="777777"/>
      </w:rPr>
      <w:t xml:space="preserve">incoming@vatravel.az</w:t>
    </w:r>
    <w:r>
      <w:tab/>
    </w:r>
    <w:r>
      <w:rPr>
        <w:rFonts w:ascii="Arial" w:hAnsi="Arial" w:cs="Arial"/>
        <w:sz w:val="16"/>
        <w:szCs w:val="16"/>
        <w:color w:val="F2CE00"/>
      </w:rPr>
      <w:t xml:space="preserve">/ </w:t>
    </w:r>
    <w:r>
      <w:rPr>
        <w:rFonts w:ascii="Arial" w:hAnsi="Arial" w:cs="Arial"/>
        <w:sz w:val="16"/>
        <w:szCs w:val="16"/>
        <w:color w:val="777777"/>
      </w:rPr>
      <w:t xml:space="preserve">www.vatravel.az</w:t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after="0"/>
    </w:pPr>
    <w:r>
      <w:drawing>
        <wp:inline distT="0" distB="0" distL="0" distR="0">
          <wp:extent cx="2080000" cy="315410"/>
          <wp:docPr id="1" name="VATRAVEL logo"/>
          <a:graphic>
            <a:graphicData uri="http://schemas.openxmlformats.org/drawingml/2006/picture">
              <pic:pic>
                <pic:nvPicPr>
                  <pic:cNvPr id="0" name="VATRAVEL logo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80000" cy="315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lang w:val="pt-PT" w:eastAsia="pt-PT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image" Target="media/programme.jp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logo.png"/></Relationships>
</file>