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170" w:before="220"/>
        <w:jc w:val="left"/>
      </w:pPr>
      <w:r>
        <w:rPr>
          <w:b/>
          <w:bCs/>
          <w:color w:val="D5A800"/>
          <w:sz w:val="20"/>
          <w:szCs w:val="20"/>
        </w:rPr>
        <w:t xml:space="preserve">PROGRAMA DE VIAGEM</w:t>
      </w:r>
    </w:p>
    <w:p>
      <w:pPr>
        <w:pStyle w:val="Title"/>
        <w:keepNext/>
        <w:bidi w:val="false"/>
        <w:spacing w:after="210"/>
        <w:jc w:val="left"/>
      </w:pPr>
      <w:r>
        <w:rPr>
          <w:b/>
          <w:bCs/>
          <w:color w:val="151515"/>
          <w:sz w:val="34"/>
          <w:szCs w:val="34"/>
        </w:rPr>
        <w:t xml:space="preserve">Azerbaijão em todas as suas cores</w:t>
      </w:r>
    </w:p>
    <w:p>
      <w:pPr>
        <w:bidi w:val="false"/>
        <w:spacing w:after="220" w:line="300"/>
        <w:jc w:val="left"/>
      </w:pPr>
      <w:r>
        <w:rPr>
          <w:color w:val="151515"/>
          <w:sz w:val="21"/>
          <w:szCs w:val="21"/>
          <w:rtl w:val="false"/>
        </w:rPr>
        <w:t xml:space="preserve">Oito dias pela história de Baku, as paisagens de Absheron, o artesanato de Sheki e o património de Goygol e Ganja. Programa com guia de língua inglesa. Contacte a nossa equipa para uma proposta privada para a sua agência.</w:t>
      </w:r>
    </w:p>
    <w:p>
      <w:pPr>
        <w:bidi w:val="false"/>
        <w:spacing w:after="110"/>
        <w:jc w:val="left"/>
      </w:pPr>
      <w:r>
        <w:rPr>
          <w:b/>
          <w:bCs/>
          <w:color w:val="151515"/>
          <w:sz w:val="20"/>
          <w:szCs w:val="20"/>
        </w:rPr>
        <w:t xml:space="preserve">Duração: </w:t>
      </w:r>
      <w:r>
        <w:rPr>
          <w:color w:val="575757"/>
          <w:sz w:val="20"/>
          <w:szCs w:val="20"/>
        </w:rPr>
        <w:t xml:space="preserve">8 dias · 7 noites</w:t>
      </w:r>
    </w:p>
    <w:p>
      <w:pPr>
        <w:bidi w:val="false"/>
        <w:spacing w:after="220"/>
        <w:jc w:val="left"/>
      </w:pPr>
      <w:r>
        <w:rPr>
          <w:b/>
          <w:bCs/>
          <w:color w:val="151515"/>
          <w:sz w:val="20"/>
          <w:szCs w:val="20"/>
        </w:rPr>
        <w:t xml:space="preserve">Percurso: </w:t>
      </w:r>
      <w:r>
        <w:rPr>
          <w:color w:val="575757"/>
          <w:sz w:val="20"/>
          <w:szCs w:val="20"/>
        </w:rPr>
        <w:t xml:space="preserve">Baku · Gobustan · Absheron · Shamakhi · Kish · Sheki · Goygol · Ganja</w:t>
      </w:r>
    </w:p>
    <w:p>
      <w:pPr>
        <w:bidi w:val="false"/>
        <w:spacing w:after="250" w:before="60"/>
        <w:jc w:val="left"/>
      </w:pPr>
      <w:r>
        <w:drawing>
          <wp:inline distT="0" distB="0" distL="0" distR="0">
            <wp:extent cx="5334000" cy="2886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bidi w:val="false"/>
        <w:spacing w:after="260" w:before="180"/>
        <w:jc w:val="left"/>
      </w:pPr>
      <w:r>
        <w:rPr>
          <w:b/>
          <w:bCs/>
          <w:color w:val="D5A800"/>
          <w:sz w:val="27"/>
          <w:szCs w:val="27"/>
        </w:rPr>
        <w:t xml:space="preserve">Itinerário dia a dia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1  /  </w:t>
      </w:r>
      <w:r>
        <w:rPr>
          <w:b/>
          <w:bCs/>
          <w:color w:val="151515"/>
          <w:sz w:val="23"/>
          <w:szCs w:val="23"/>
        </w:rPr>
        <w:t xml:space="preserve">Chegada a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Chegada ao aeroporto de Baku. Transfer opcional para o hotel e alojamento na cidade.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2  /  </w:t>
      </w:r>
      <w:r>
        <w:rPr>
          <w:b/>
          <w:bCs/>
          <w:color w:val="151515"/>
          <w:sz w:val="23"/>
          <w:szCs w:val="23"/>
        </w:rPr>
        <w:t xml:space="preserve">Baku – Gobustan –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e partida para Gobustan, a cerca de 60 km de Baku. Visita ao museu para conhecer a arte rupestre da região. Regresso a Baku e passeio por Icherisheher, a Cidade Velha, entre edifícios históricos e antigas residências dos magnatas do petróleo. Visita ao Palácio dos Shirvanshahs, à Torre da Donzela, às ruínas da Igreja de São Bartolomeu, ao antigo hammam e às mesquitas históricas. Almoço incluído. Jantar livre e alojamento em Baku.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Cidade amuralhada de Baku com o Palácio dos Shirvanshahs e a Torre da Donzela; Paisagem cultural de arte rupestre de Gobustan.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3  /  </w:t>
      </w:r>
      <w:r>
        <w:rPr>
          <w:b/>
          <w:bCs/>
          <w:color w:val="151515"/>
          <w:sz w:val="23"/>
          <w:szCs w:val="23"/>
        </w:rPr>
        <w:t xml:space="preserve">Baku – Península de Absheron –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e visita ao miradouro de Baku, com vista para a baía do Cáspio. Excursão à Península de Absheron para visitar o Templo do Fogo de Ateshgah, em Surakhani, e Yanar Dag. No regresso a Baku, visita ao Centro Heydar Aliyev (visita exterior), de Zaha Hadid, e ao Yashil Bazaar, conhecido pelos produtos frescos, especiarias e especialidades locais. Almoço incluído e alojamento em Baku.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4  /  </w:t>
      </w:r>
      <w:r>
        <w:rPr>
          <w:b/>
          <w:bCs/>
          <w:color w:val="151515"/>
          <w:sz w:val="23"/>
          <w:szCs w:val="23"/>
        </w:rPr>
        <w:t xml:space="preserve">Baku – Shamakhi – Kish – Sheki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e partida para Sheki. Pelo caminho, visita ao Mausoléu de Diri Baba, em Maraza, e à Mesquita Juma de Shamakhi. Almoço durante o percurso. Visita à igreja de Kish e ao centro histórico de Sheki, ligado à Rota da Seda e às tradições artesanais. Visita ao Palácio dos Khans de Sheki, conhecido pelos vitrais coloridos e pinturas murais. Alojamento em Sheki.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Centro histórico de Sheki com o Palácio do Khan.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5  /  </w:t>
      </w:r>
      <w:r>
        <w:rPr>
          <w:b/>
          <w:bCs/>
          <w:color w:val="151515"/>
          <w:sz w:val="23"/>
          <w:szCs w:val="23"/>
        </w:rPr>
        <w:t xml:space="preserve">Sheki – Goygol – Ganja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e visita ao bazar de Sheki. Continuação para Goygol, com visita ao bairro alemão e à igreja luterana. Almoço durante o percurso e partida para Ganja. Visita à Mesquita Juma, ao Mausoléu de Imamzadeh e aos caravançarais da cidade. Alojamento em Ganja.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6  /  </w:t>
      </w:r>
      <w:r>
        <w:rPr>
          <w:b/>
          <w:bCs/>
          <w:color w:val="151515"/>
          <w:sz w:val="23"/>
          <w:szCs w:val="23"/>
        </w:rPr>
        <w:t xml:space="preserve">Ganja –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Depois do pequeno-almoço, regresso a Baku com paragem no mausoléu do poeta Nizami. Chegada à tarde e tempo livre para explorar a cidade ou descansar. Almoço incluído e alojamento em Baku.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7  /  </w:t>
      </w:r>
      <w:r>
        <w:rPr>
          <w:b/>
          <w:bCs/>
          <w:color w:val="151515"/>
          <w:sz w:val="23"/>
          <w:szCs w:val="23"/>
        </w:rPr>
        <w:t xml:space="preserve">Baku: arte, museus e marginal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Depois do pequeno-almoço, visita ao espaço de arte contemporânea YARAT e ao Museu do Tapete. Passeio pela marginal do Cáspio e almoço num restaurante local. À tarde, visita ao Museu Nacional de História do Azerbaijão e à casa de Haji Zeynalabdin Taghiyev. Regresso ao hotel e alojamento em Baku.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8  /  </w:t>
      </w:r>
      <w:r>
        <w:rPr>
          <w:b/>
          <w:bCs/>
          <w:color w:val="151515"/>
          <w:sz w:val="23"/>
          <w:szCs w:val="23"/>
        </w:rPr>
        <w:t xml:space="preserve">Partida de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no hotel e tempo livre até ao transfer para o aeroporto, de acordo com o voo. Os quartos devem ser desocupados antes das 12:00.</w:t>
      </w:r>
    </w:p>
    <w:sectPr>
      <w:headerReference w:type="default" r:id="rId7"/>
      <w:footerReference w:type="default" r:id="rId8"/>
      <w:pgSz w:w="11906" w:h="16838" w:orient="portrait"/>
      <w:pgMar w:top="1480" w:right="1120" w:bottom="1180" w:left="1120" w:header="430" w:footer="43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color w:val="575757"/>
        <w:sz w:val="16"/>
        <w:szCs w:val="16"/>
      </w:rPr>
      <w:t xml:space="preserve">+994 51 585 55 64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incoming@vatravel.az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vatravel.az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jc w:val="left"/>
    </w:pPr>
    <w:r>
      <w:drawing>
        <wp:inline distT="0" distB="0" distL="0" distR="0">
          <wp:extent cx="1943100" cy="2952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YaHei" w:hAnsi="Arial"/>
        <w:sz w:val="22"/>
        <w:szCs w:val="22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qFormat/>
    <w:pPr>
      <w:spacing w:after="210"/>
    </w:pPr>
    <w:rPr>
      <w:rFonts w:ascii="Arial" w:cs="Arial" w:eastAsia="Arial" w:hAnsi="Arial"/>
      <w:b/>
      <w:bCs/>
      <w:color w:val="151515"/>
      <w:sz w:val="34"/>
      <w:szCs w:val="3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c7bee623df3afb1faa9e64c22dbdff6a35547a6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cab3174d382cedc724728a803b8538b4ee231b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Azerbaijão em todas as suas cores</dc:title>
  <dc:creator>VATRAVEL</dc:creator>
  <dc:description>Programa de viagem - VATRAVEL</dc:description>
  <cp:lastModifiedBy>Un-named</cp:lastModifiedBy>
  <cp:revision>1</cp:revision>
  <dcterms:created xsi:type="dcterms:W3CDTF">2026-10-05T14:39:04.674Z</dcterms:created>
  <dcterms:modified xsi:type="dcterms:W3CDTF">2026-10-05T14:39:04.674Z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